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6CF" w:rsidRDefault="0055049F">
      <w:pPr>
        <w:snapToGrid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违背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/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偏离方案的报告表</w:t>
      </w:r>
      <w:bookmarkStart w:id="0" w:name="_GoBack"/>
      <w:bookmarkEnd w:id="0"/>
    </w:p>
    <w:tbl>
      <w:tblPr>
        <w:tblpPr w:leftFromText="180" w:rightFromText="180" w:vertAnchor="page" w:horzAnchor="margin" w:tblpXSpec="center" w:tblpY="213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682"/>
        <w:gridCol w:w="1589"/>
        <w:gridCol w:w="425"/>
        <w:gridCol w:w="851"/>
        <w:gridCol w:w="960"/>
        <w:gridCol w:w="3210"/>
      </w:tblGrid>
      <w:tr w:rsidR="001C16CF">
        <w:trPr>
          <w:trHeight w:val="53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伦理编号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1C16CF">
            <w:pPr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发生日期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57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试验名称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51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申办</w:t>
            </w: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516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研究单位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1C16CF">
            <w:pPr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2591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偏差的类型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□轻度方案偏离</w:t>
            </w:r>
            <w:r>
              <w:rPr>
                <w:bCs/>
                <w:szCs w:val="21"/>
              </w:rPr>
              <w:t>（</w:t>
            </w:r>
            <w:r>
              <w:rPr>
                <w:bCs/>
                <w:szCs w:val="21"/>
              </w:rPr>
              <w:t>Minor Deviation</w:t>
            </w:r>
            <w:r>
              <w:rPr>
                <w:bCs/>
                <w:szCs w:val="21"/>
              </w:rPr>
              <w:t>）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方案违背</w:t>
            </w:r>
            <w:r>
              <w:rPr>
                <w:bCs/>
                <w:szCs w:val="21"/>
              </w:rPr>
              <w:t xml:space="preserve">(Violation) </w:t>
            </w:r>
          </w:p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偏差：</w:t>
            </w:r>
            <w:r>
              <w:rPr>
                <w:bCs/>
                <w:szCs w:val="21"/>
              </w:rPr>
              <w:t>研究中发生任何与伦理委员会审查批准原方案内容的改变、相异</w:t>
            </w:r>
            <w:r>
              <w:rPr>
                <w:rFonts w:hint="eastAsia"/>
                <w:bCs/>
                <w:szCs w:val="21"/>
              </w:rPr>
              <w:t>的内容。包括以下两类：</w:t>
            </w:r>
          </w:p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bCs/>
                <w:szCs w:val="21"/>
              </w:rPr>
              <w:t>轻度偏离：对受试者的权益、安全与</w:t>
            </w:r>
            <w:r>
              <w:rPr>
                <w:rFonts w:hint="eastAsia"/>
                <w:bCs/>
                <w:szCs w:val="21"/>
              </w:rPr>
              <w:t>健康</w:t>
            </w:r>
            <w:r>
              <w:rPr>
                <w:bCs/>
                <w:szCs w:val="21"/>
              </w:rPr>
              <w:t>，或</w:t>
            </w:r>
            <w:r>
              <w:rPr>
                <w:bCs/>
                <w:szCs w:val="21"/>
              </w:rPr>
              <w:t>/</w:t>
            </w:r>
            <w:r>
              <w:rPr>
                <w:bCs/>
                <w:szCs w:val="21"/>
              </w:rPr>
              <w:t>及对</w:t>
            </w:r>
            <w:r>
              <w:rPr>
                <w:rFonts w:hint="eastAsia"/>
                <w:bCs/>
                <w:szCs w:val="21"/>
              </w:rPr>
              <w:t>研究</w:t>
            </w:r>
            <w:r>
              <w:rPr>
                <w:bCs/>
                <w:szCs w:val="21"/>
              </w:rPr>
              <w:t>数据的完整性、正确性与可信度没有</w:t>
            </w:r>
            <w:r>
              <w:rPr>
                <w:rFonts w:hint="eastAsia"/>
                <w:bCs/>
                <w:szCs w:val="21"/>
              </w:rPr>
              <w:t>显著</w:t>
            </w:r>
            <w:r>
              <w:rPr>
                <w:bCs/>
                <w:szCs w:val="21"/>
              </w:rPr>
              <w:t>影响的</w:t>
            </w:r>
            <w:r>
              <w:rPr>
                <w:rFonts w:hint="eastAsia"/>
                <w:bCs/>
                <w:szCs w:val="21"/>
              </w:rPr>
              <w:t>偏差</w:t>
            </w:r>
            <w:r>
              <w:rPr>
                <w:bCs/>
                <w:szCs w:val="21"/>
              </w:rPr>
              <w:t>。</w:t>
            </w:r>
          </w:p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方案</w:t>
            </w:r>
            <w:r>
              <w:rPr>
                <w:bCs/>
                <w:szCs w:val="21"/>
              </w:rPr>
              <w:t>违背：并对受试者的权益、安全与</w:t>
            </w:r>
            <w:r>
              <w:rPr>
                <w:rFonts w:hint="eastAsia"/>
                <w:bCs/>
                <w:szCs w:val="21"/>
              </w:rPr>
              <w:t>健康</w:t>
            </w:r>
            <w:r>
              <w:rPr>
                <w:bCs/>
                <w:szCs w:val="21"/>
              </w:rPr>
              <w:t>，或</w:t>
            </w:r>
            <w:r>
              <w:rPr>
                <w:bCs/>
                <w:szCs w:val="21"/>
              </w:rPr>
              <w:t>/</w:t>
            </w:r>
            <w:r>
              <w:rPr>
                <w:bCs/>
                <w:szCs w:val="21"/>
              </w:rPr>
              <w:t>及对</w:t>
            </w:r>
            <w:r>
              <w:rPr>
                <w:rFonts w:hint="eastAsia"/>
                <w:bCs/>
                <w:szCs w:val="21"/>
              </w:rPr>
              <w:t>研究</w:t>
            </w:r>
            <w:r>
              <w:rPr>
                <w:bCs/>
                <w:szCs w:val="21"/>
              </w:rPr>
              <w:t>数据的完整性、正确性与可信度有显著影响</w:t>
            </w:r>
            <w:r>
              <w:rPr>
                <w:rFonts w:hint="eastAsia"/>
                <w:bCs/>
                <w:szCs w:val="21"/>
              </w:rPr>
              <w:t>的偏差</w:t>
            </w:r>
            <w:r>
              <w:rPr>
                <w:bCs/>
                <w:szCs w:val="21"/>
              </w:rPr>
              <w:t>，称为</w:t>
            </w:r>
            <w:r>
              <w:rPr>
                <w:rFonts w:hint="eastAsia"/>
                <w:bCs/>
                <w:szCs w:val="21"/>
              </w:rPr>
              <w:t>方案违背</w:t>
            </w:r>
            <w:r>
              <w:rPr>
                <w:bCs/>
                <w:szCs w:val="21"/>
              </w:rPr>
              <w:t>。</w:t>
            </w:r>
          </w:p>
        </w:tc>
      </w:tr>
      <w:tr w:rsidR="001C16CF">
        <w:trPr>
          <w:trHeight w:val="2624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偏差描述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请注明受试者姓名缩写</w:t>
            </w:r>
            <w:r>
              <w:rPr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：</w:t>
            </w: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124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55049F">
            <w:pPr>
              <w:rPr>
                <w:rFonts w:ascii="宋体"/>
                <w:bCs/>
                <w:szCs w:val="21"/>
              </w:rPr>
            </w:pPr>
            <w:bookmarkStart w:id="1" w:name="_Hlk280096570"/>
            <w:r>
              <w:rPr>
                <w:rFonts w:ascii="宋体" w:hint="eastAsia"/>
                <w:bCs/>
                <w:szCs w:val="21"/>
              </w:rPr>
              <w:t>采取措施：</w:t>
            </w:r>
          </w:p>
          <w:p w:rsidR="001C16CF" w:rsidRDefault="001C16CF">
            <w:pPr>
              <w:rPr>
                <w:rFonts w:ascii="宋体"/>
                <w:bCs/>
                <w:szCs w:val="21"/>
              </w:rPr>
            </w:pPr>
          </w:p>
          <w:p w:rsidR="001C16CF" w:rsidRDefault="001C16CF">
            <w:pPr>
              <w:rPr>
                <w:rFonts w:ascii="宋体"/>
                <w:bCs/>
                <w:szCs w:val="21"/>
              </w:rPr>
            </w:pPr>
          </w:p>
          <w:p w:rsidR="001C16CF" w:rsidRDefault="001C16CF">
            <w:pPr>
              <w:rPr>
                <w:rFonts w:ascii="宋体"/>
                <w:bCs/>
                <w:szCs w:val="21"/>
              </w:rPr>
            </w:pP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55049F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结果：</w:t>
            </w:r>
          </w:p>
          <w:p w:rsidR="001C16CF" w:rsidRDefault="001C16CF">
            <w:pPr>
              <w:rPr>
                <w:rFonts w:ascii="宋体"/>
                <w:bCs/>
                <w:szCs w:val="21"/>
              </w:rPr>
            </w:pPr>
          </w:p>
        </w:tc>
      </w:tr>
      <w:tr w:rsidR="001C16CF">
        <w:trPr>
          <w:trHeight w:val="65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发现者签名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日期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1C16CF">
            <w:pPr>
              <w:rPr>
                <w:bCs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记录者签名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日期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65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主要研究者签名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日期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F" w:rsidRDefault="001C16CF">
            <w:pPr>
              <w:rPr>
                <w:bCs/>
                <w:szCs w:val="21"/>
              </w:rPr>
            </w:pPr>
          </w:p>
        </w:tc>
      </w:tr>
      <w:tr w:rsidR="001C16CF">
        <w:trPr>
          <w:trHeight w:val="2582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CF" w:rsidRDefault="0055049F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主任委员意见：</w:t>
            </w: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55049F" w:rsidP="00E22A12">
            <w:pPr>
              <w:ind w:leftChars="171" w:left="416" w:hangingChars="27" w:hanging="5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同意临床研究继续进行，需加强人员培训和监察力度</w:t>
            </w:r>
          </w:p>
          <w:p w:rsidR="001C16CF" w:rsidRDefault="0055049F" w:rsidP="00E22A12">
            <w:pPr>
              <w:ind w:leftChars="171" w:left="416" w:hangingChars="27" w:hanging="5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建议暂停进行中的临床研究</w:t>
            </w:r>
          </w:p>
          <w:p w:rsidR="001C16CF" w:rsidRDefault="0055049F" w:rsidP="00E22A12">
            <w:pPr>
              <w:ind w:leftChars="171" w:left="416" w:hangingChars="27" w:hanging="57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建议终止进行中的临床研究</w:t>
            </w: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1C16CF">
            <w:pPr>
              <w:rPr>
                <w:bCs/>
                <w:szCs w:val="21"/>
              </w:rPr>
            </w:pPr>
          </w:p>
          <w:p w:rsidR="001C16CF" w:rsidRDefault="005504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主任委员签名：</w:t>
            </w:r>
            <w:r>
              <w:rPr>
                <w:rFonts w:hint="eastAsia"/>
                <w:bCs/>
                <w:szCs w:val="21"/>
              </w:rPr>
              <w:t xml:space="preserve">_____________         </w:t>
            </w:r>
            <w:r>
              <w:rPr>
                <w:rFonts w:hint="eastAsia"/>
                <w:bCs/>
                <w:szCs w:val="21"/>
              </w:rPr>
              <w:t>日期：</w:t>
            </w:r>
            <w:r>
              <w:rPr>
                <w:rFonts w:hint="eastAsia"/>
                <w:bCs/>
                <w:szCs w:val="21"/>
              </w:rPr>
              <w:t>_____________</w:t>
            </w:r>
          </w:p>
        </w:tc>
      </w:tr>
      <w:bookmarkEnd w:id="1"/>
    </w:tbl>
    <w:p w:rsidR="001C16CF" w:rsidRDefault="001C16CF">
      <w:pPr>
        <w:rPr>
          <w:szCs w:val="21"/>
        </w:rPr>
      </w:pPr>
    </w:p>
    <w:sectPr w:rsidR="001C16C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9F" w:rsidRDefault="0055049F">
      <w:r>
        <w:separator/>
      </w:r>
    </w:p>
  </w:endnote>
  <w:endnote w:type="continuationSeparator" w:id="0">
    <w:p w:rsidR="0055049F" w:rsidRDefault="0055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12" w:rsidRDefault="00E22A12">
    <w:pPr>
      <w:pStyle w:val="a4"/>
    </w:pPr>
    <w:r>
      <w:rPr>
        <w:noProof/>
      </w:rPr>
      <w:pict>
        <v:line id="直接连接符 2" o:spid="_x0000_s2050" style="position:absolute;z-index:251660288;visibility:visible;mso-wrap-style:square;mso-wrap-distance-left:9pt;mso-wrap-distance-top:0;mso-wrap-distance-right:9pt;mso-wrap-distance-bottom:0;mso-position-horizontal-relative:text;mso-position-vertical-relative:text" from="-46.5pt,-2.5pt" to="477.7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" strokecolor="black [3040]"/>
      </w:pict>
    </w:r>
    <w:r>
      <w:rPr>
        <w:rFonts w:hint="eastAsia"/>
        <w:lang w:val="zh-CN"/>
      </w:rPr>
      <w:t xml:space="preserve">SECCR SOP 310.02-01        </w:t>
    </w:r>
    <w:r>
      <w:rPr>
        <w:rFonts w:hint="eastAsia"/>
        <w:lang w:val="zh-CN"/>
      </w:rPr>
      <w:tab/>
    </w:r>
    <w:r>
      <w:rPr>
        <w:rFonts w:hint="eastAsia"/>
        <w:lang w:val="zh-CN"/>
      </w:rPr>
      <w:tab/>
    </w:r>
    <w:r>
      <w:rPr>
        <w:rFonts w:hint="eastAsia"/>
        <w:lang w:val="zh-CN"/>
      </w:rPr>
      <w:t xml:space="preserve">   </w:t>
    </w:r>
    <w:r w:rsidRPr="0090456D">
      <w:rPr>
        <w:rFonts w:hint="eastAsia"/>
        <w:lang w:val="zh-CN"/>
      </w:rPr>
      <w:t>第</w:t>
    </w:r>
    <w:r w:rsidRPr="0090456D">
      <w:rPr>
        <w:lang w:val="zh-CN"/>
      </w:rPr>
      <w:t xml:space="preserve"> </w:t>
    </w:r>
    <w:r w:rsidRPr="0090456D">
      <w:fldChar w:fldCharType="begin"/>
    </w:r>
    <w:r w:rsidRPr="0090456D">
      <w:instrText>PAGE  \* Arabic  \* MERGEFORMAT</w:instrText>
    </w:r>
    <w:r w:rsidRPr="0090456D">
      <w:fldChar w:fldCharType="separate"/>
    </w:r>
    <w:r w:rsidRPr="00E22A12">
      <w:rPr>
        <w:noProof/>
        <w:lang w:val="zh-CN"/>
      </w:rPr>
      <w:t>1</w:t>
    </w:r>
    <w:r w:rsidRPr="0090456D">
      <w:fldChar w:fldCharType="end"/>
    </w:r>
    <w:r w:rsidRPr="0090456D">
      <w:rPr>
        <w:lang w:val="zh-CN"/>
      </w:rPr>
      <w:t xml:space="preserve"> </w:t>
    </w:r>
    <w:r w:rsidRPr="0090456D">
      <w:rPr>
        <w:rFonts w:hint="eastAsia"/>
        <w:lang w:val="zh-CN"/>
      </w:rPr>
      <w:t>页</w:t>
    </w:r>
    <w:r w:rsidRPr="0090456D">
      <w:rPr>
        <w:lang w:val="zh-CN"/>
      </w:rPr>
      <w:t>/</w:t>
    </w:r>
    <w:r>
      <w:rPr>
        <w:rFonts w:hint="eastAsia"/>
        <w:lang w:val="zh-CN"/>
      </w:rPr>
      <w:t>共</w:t>
    </w:r>
    <w:r w:rsidRPr="0090456D">
      <w:rPr>
        <w:lang w:val="zh-CN"/>
      </w:rPr>
      <w:t xml:space="preserve"> </w:t>
    </w:r>
    <w:r>
      <w:fldChar w:fldCharType="begin"/>
    </w:r>
    <w:r>
      <w:instrText>NUMPAGES  \* Arabic  \* MERGEFORMAT</w:instrText>
    </w:r>
    <w:r>
      <w:fldChar w:fldCharType="separate"/>
    </w:r>
    <w:r w:rsidRPr="00E22A12">
      <w:rPr>
        <w:noProof/>
        <w:lang w:val="zh-CN"/>
      </w:rPr>
      <w:t>1</w:t>
    </w:r>
    <w:r>
      <w:rPr>
        <w:noProof/>
        <w:lang w:val="zh-CN"/>
      </w:rPr>
      <w:fldChar w:fldCharType="end"/>
    </w:r>
    <w:r w:rsidRPr="0090456D">
      <w:rPr>
        <w:rFonts w:hint="eastAsia"/>
      </w:rPr>
      <w:t xml:space="preserve"> </w:t>
    </w:r>
    <w:r w:rsidRPr="0090456D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9F" w:rsidRDefault="0055049F">
      <w:r>
        <w:separator/>
      </w:r>
    </w:p>
  </w:footnote>
  <w:footnote w:type="continuationSeparator" w:id="0">
    <w:p w:rsidR="0055049F" w:rsidRDefault="00550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CF" w:rsidRDefault="0055049F">
    <w:pPr>
      <w:jc w:val="center"/>
      <w:rPr>
        <w:rFonts w:ascii="新宋体" w:eastAsia="新宋体" w:hAnsi="新宋体"/>
        <w:b/>
        <w:bCs/>
        <w:color w:val="595959"/>
        <w:sz w:val="20"/>
        <w:szCs w:val="20"/>
      </w:rPr>
    </w:pPr>
    <w:r>
      <w:rPr>
        <w:rFonts w:hint="eastAsia"/>
        <w:noProof/>
        <w:color w:val="595959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10795</wp:posOffset>
          </wp:positionV>
          <wp:extent cx="304165" cy="308610"/>
          <wp:effectExtent l="0" t="0" r="635" b="15240"/>
          <wp:wrapTight wrapText="bothSides">
            <wp:wrapPolygon edited="0">
              <wp:start x="2706" y="0"/>
              <wp:lineTo x="0" y="2667"/>
              <wp:lineTo x="0" y="17333"/>
              <wp:lineTo x="2706" y="20000"/>
              <wp:lineTo x="17587" y="20000"/>
              <wp:lineTo x="20292" y="17333"/>
              <wp:lineTo x="20292" y="2667"/>
              <wp:lineTo x="17587" y="0"/>
              <wp:lineTo x="2706" y="0"/>
            </wp:wrapPolygon>
          </wp:wrapTight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165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新宋体" w:eastAsia="新宋体" w:hAnsi="新宋体" w:hint="eastAsia"/>
        <w:b/>
        <w:bCs/>
        <w:color w:val="595959"/>
        <w:sz w:val="20"/>
        <w:szCs w:val="20"/>
      </w:rPr>
      <w:t>上海市临床研究</w:t>
    </w:r>
    <w:r>
      <w:rPr>
        <w:rFonts w:ascii="新宋体" w:eastAsia="新宋体" w:hAnsi="新宋体" w:hint="eastAsia"/>
        <w:b/>
        <w:bCs/>
        <w:color w:val="595959"/>
        <w:sz w:val="20"/>
        <w:szCs w:val="20"/>
      </w:rPr>
      <w:t>伦理委员会</w:t>
    </w:r>
  </w:p>
  <w:p w:rsidR="001C16CF" w:rsidRDefault="0055049F">
    <w:pPr>
      <w:pBdr>
        <w:bottom w:val="single" w:sz="4" w:space="0" w:color="auto"/>
      </w:pBdr>
      <w:jc w:val="center"/>
    </w:pPr>
    <w:r>
      <w:rPr>
        <w:rFonts w:eastAsia="华文中宋" w:hint="eastAsia"/>
        <w:b/>
        <w:bCs/>
        <w:color w:val="595959"/>
        <w:sz w:val="20"/>
        <w:szCs w:val="20"/>
      </w:rPr>
      <w:t>SHANGHAI ETHICS COMMITTEE FOR CLINICAL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9E"/>
    <w:multiLevelType w:val="multilevel"/>
    <w:tmpl w:val="08973C9E"/>
    <w:lvl w:ilvl="0">
      <w:start w:val="1"/>
      <w:numFmt w:val="chineseCountingThousand"/>
      <w:pStyle w:val="1"/>
      <w:lvlText w:val="第%1章"/>
      <w:lvlJc w:val="left"/>
      <w:pPr>
        <w:ind w:left="420" w:hanging="420"/>
      </w:pPr>
      <w:rPr>
        <w:rFonts w:hint="eastAsia"/>
        <w:sz w:val="44"/>
        <w:szCs w:val="4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8FD"/>
    <w:rsid w:val="00063454"/>
    <w:rsid w:val="0017177F"/>
    <w:rsid w:val="001C16CF"/>
    <w:rsid w:val="0034167E"/>
    <w:rsid w:val="00363D1B"/>
    <w:rsid w:val="0038302E"/>
    <w:rsid w:val="003E0244"/>
    <w:rsid w:val="004C1019"/>
    <w:rsid w:val="00503581"/>
    <w:rsid w:val="0055049F"/>
    <w:rsid w:val="0068636E"/>
    <w:rsid w:val="00716D53"/>
    <w:rsid w:val="00731174"/>
    <w:rsid w:val="007B08FD"/>
    <w:rsid w:val="008031E6"/>
    <w:rsid w:val="00867CCA"/>
    <w:rsid w:val="00876421"/>
    <w:rsid w:val="00876A7C"/>
    <w:rsid w:val="008B38FC"/>
    <w:rsid w:val="008F1884"/>
    <w:rsid w:val="00977403"/>
    <w:rsid w:val="00A33663"/>
    <w:rsid w:val="00A82F9B"/>
    <w:rsid w:val="00B85749"/>
    <w:rsid w:val="00D03D66"/>
    <w:rsid w:val="00D12F46"/>
    <w:rsid w:val="00E22A12"/>
    <w:rsid w:val="00F84CFC"/>
    <w:rsid w:val="410A0F9D"/>
    <w:rsid w:val="790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semiHidden="0" w:qFormat="1"/>
    <w:lsdException w:name="footer" w:semiHidden="0" w:uiPriority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pPr>
      <w:keepNext/>
      <w:spacing w:line="360" w:lineRule="auto"/>
      <w:outlineLvl w:val="1"/>
    </w:pPr>
    <w:rPr>
      <w:rFonts w:ascii="宋体" w:hAnsi="宋体" w:hint="eastAsia"/>
      <w:b/>
      <w:bCs/>
      <w:iCs/>
      <w:sz w:val="28"/>
      <w:szCs w:val="20"/>
    </w:rPr>
  </w:style>
  <w:style w:type="paragraph" w:styleId="3">
    <w:name w:val="heading 3"/>
    <w:basedOn w:val="a"/>
    <w:next w:val="a0"/>
    <w:link w:val="3Char"/>
    <w:qFormat/>
    <w:pPr>
      <w:keepNext/>
      <w:tabs>
        <w:tab w:val="left" w:pos="420"/>
      </w:tabs>
      <w:spacing w:beforeLines="50" w:afterLines="50" w:line="360" w:lineRule="auto"/>
      <w:outlineLvl w:val="2"/>
    </w:pPr>
    <w:rPr>
      <w:rFonts w:ascii="宋体" w:hAnsi="宋体" w:hint="eastAsia"/>
      <w:bCs/>
      <w:color w:val="000000"/>
      <w:sz w:val="28"/>
      <w:szCs w:val="20"/>
    </w:rPr>
  </w:style>
  <w:style w:type="paragraph" w:styleId="5">
    <w:name w:val="heading 5"/>
    <w:basedOn w:val="a"/>
    <w:next w:val="a0"/>
    <w:link w:val="5Char"/>
    <w:qFormat/>
    <w:pPr>
      <w:keepNext/>
      <w:spacing w:line="360" w:lineRule="auto"/>
      <w:jc w:val="center"/>
      <w:outlineLvl w:val="4"/>
    </w:pPr>
    <w:rPr>
      <w:color w:val="FF0000"/>
      <w:sz w:val="36"/>
      <w:szCs w:val="20"/>
    </w:rPr>
  </w:style>
  <w:style w:type="paragraph" w:styleId="9">
    <w:name w:val="heading 9"/>
    <w:basedOn w:val="a"/>
    <w:next w:val="a0"/>
    <w:link w:val="9Char"/>
    <w:qFormat/>
    <w:pPr>
      <w:keepNext/>
      <w:tabs>
        <w:tab w:val="left" w:pos="315"/>
      </w:tabs>
      <w:snapToGrid w:val="0"/>
      <w:spacing w:line="360" w:lineRule="auto"/>
      <w:outlineLvl w:val="8"/>
    </w:pPr>
    <w:rPr>
      <w:rFonts w:ascii="宋体" w:hAnsi="Arial" w:hint="eastAsia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30">
    <w:name w:val="toc 3"/>
    <w:basedOn w:val="a"/>
    <w:next w:val="a"/>
    <w:uiPriority w:val="39"/>
    <w:semiHidden/>
    <w:qFormat/>
    <w:pPr>
      <w:tabs>
        <w:tab w:val="left" w:pos="1682"/>
        <w:tab w:val="right" w:leader="dot" w:pos="9350"/>
      </w:tabs>
      <w:ind w:leftChars="400" w:left="840"/>
    </w:pPr>
    <w:rPr>
      <w:rFonts w:ascii="宋体" w:hAnsi="宋体"/>
      <w:sz w:val="24"/>
    </w:rPr>
  </w:style>
  <w:style w:type="paragraph" w:styleId="a4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350"/>
      </w:tabs>
    </w:pPr>
    <w:rPr>
      <w:rFonts w:ascii="宋体" w:hAnsi="宋体"/>
      <w:b/>
      <w:color w:val="000000"/>
      <w:sz w:val="28"/>
      <w:szCs w:val="28"/>
    </w:rPr>
  </w:style>
  <w:style w:type="paragraph" w:styleId="20">
    <w:name w:val="toc 2"/>
    <w:basedOn w:val="a"/>
    <w:next w:val="a"/>
    <w:uiPriority w:val="39"/>
    <w:qFormat/>
    <w:pPr>
      <w:tabs>
        <w:tab w:val="left" w:pos="1353"/>
        <w:tab w:val="left" w:pos="2694"/>
        <w:tab w:val="right" w:leader="dot" w:pos="9350"/>
      </w:tabs>
      <w:ind w:leftChars="200" w:left="420"/>
      <w:jc w:val="center"/>
    </w:pPr>
    <w:rPr>
      <w:bCs/>
      <w:sz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Emphasis"/>
    <w:basedOn w:val="a1"/>
    <w:qFormat/>
    <w:rPr>
      <w:color w:val="CC0033"/>
    </w:rPr>
  </w:style>
  <w:style w:type="character" w:customStyle="1" w:styleId="1Char">
    <w:name w:val="标题 1 Char"/>
    <w:basedOn w:val="a1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Pr>
      <w:rFonts w:ascii="宋体" w:hAnsi="宋体"/>
      <w:b/>
      <w:bCs/>
      <w:iCs/>
      <w:kern w:val="2"/>
      <w:sz w:val="28"/>
    </w:rPr>
  </w:style>
  <w:style w:type="character" w:customStyle="1" w:styleId="2Char1">
    <w:name w:val="标题 2 Char1"/>
    <w:basedOn w:val="a1"/>
    <w:qFormat/>
    <w:rPr>
      <w:rFonts w:ascii="宋体" w:hAnsi="宋体"/>
      <w:b/>
      <w:bCs/>
      <w:iCs/>
      <w:kern w:val="2"/>
      <w:sz w:val="28"/>
    </w:rPr>
  </w:style>
  <w:style w:type="character" w:customStyle="1" w:styleId="3Char">
    <w:name w:val="标题 3 Char"/>
    <w:basedOn w:val="a1"/>
    <w:link w:val="3"/>
    <w:qFormat/>
    <w:rPr>
      <w:rFonts w:ascii="宋体" w:hAnsi="宋体"/>
      <w:bCs/>
      <w:color w:val="000000"/>
      <w:kern w:val="2"/>
      <w:sz w:val="28"/>
    </w:rPr>
  </w:style>
  <w:style w:type="character" w:customStyle="1" w:styleId="5Char">
    <w:name w:val="标题 5 Char"/>
    <w:basedOn w:val="a1"/>
    <w:link w:val="5"/>
    <w:qFormat/>
    <w:rPr>
      <w:color w:val="FF0000"/>
      <w:kern w:val="2"/>
      <w:sz w:val="36"/>
    </w:rPr>
  </w:style>
  <w:style w:type="character" w:customStyle="1" w:styleId="9Char">
    <w:name w:val="标题 9 Char"/>
    <w:basedOn w:val="a1"/>
    <w:link w:val="9"/>
    <w:qFormat/>
    <w:rPr>
      <w:rFonts w:ascii="宋体" w:hAnsi="Arial"/>
      <w:b/>
      <w:kern w:val="2"/>
      <w:sz w:val="21"/>
      <w:u w:val="single"/>
    </w:rPr>
  </w:style>
  <w:style w:type="character" w:customStyle="1" w:styleId="Char1">
    <w:name w:val="标题 Char"/>
    <w:basedOn w:val="a1"/>
    <w:link w:val="a6"/>
    <w:rPr>
      <w:rFonts w:ascii="Cambria" w:hAnsi="Cambria" w:cs="Times New Roman"/>
      <w:b/>
      <w:bCs/>
      <w:kern w:val="2"/>
      <w:sz w:val="32"/>
      <w:szCs w:val="32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qFormat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0">
    <w:name w:val="页眉 Char"/>
    <w:basedOn w:val="a1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scrc</dc:creator>
  <cp:lastModifiedBy>章晓祎</cp:lastModifiedBy>
  <cp:revision>9</cp:revision>
  <dcterms:created xsi:type="dcterms:W3CDTF">2016-06-14T02:31:00Z</dcterms:created>
  <dcterms:modified xsi:type="dcterms:W3CDTF">2018-12-05T10:11:00Z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